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noProof/>
          <w:sz w:val="24"/>
          <w:szCs w:val="24"/>
          <w:lang w:val="en-GB"/>
        </w:rPr>
        <w:drawing>
          <wp:inline distT="114300" distB="114300" distL="114300" distR="114300">
            <wp:extent cx="2198081" cy="2198081"/>
            <wp:effectExtent l="0" t="0" r="0" b="0"/>
            <wp:docPr id="1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8081" cy="21980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  <w:u w:val="single"/>
        </w:rPr>
      </w:pPr>
      <w:r>
        <w:rPr>
          <w:rFonts w:ascii="Calibri" w:eastAsia="Calibri" w:hAnsi="Calibri" w:cs="Calibri"/>
          <w:b/>
          <w:sz w:val="54"/>
          <w:szCs w:val="54"/>
          <w:u w:val="single"/>
        </w:rPr>
        <w:t>School Vision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66"/>
          <w:szCs w:val="66"/>
        </w:rPr>
      </w:pPr>
      <w:r>
        <w:rPr>
          <w:rFonts w:ascii="Calibri" w:eastAsia="Calibri" w:hAnsi="Calibri" w:cs="Calibri"/>
          <w:i/>
          <w:color w:val="212529"/>
          <w:sz w:val="66"/>
          <w:szCs w:val="66"/>
        </w:rPr>
        <w:t>‘Let Your Light Shine’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sz w:val="24"/>
          <w:szCs w:val="24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24"/>
          <w:szCs w:val="24"/>
        </w:rPr>
      </w:pPr>
      <w:r>
        <w:rPr>
          <w:rFonts w:ascii="Calibri" w:eastAsia="Calibri" w:hAnsi="Calibri" w:cs="Calibri"/>
          <w:i/>
          <w:color w:val="212529"/>
          <w:sz w:val="24"/>
          <w:szCs w:val="24"/>
        </w:rPr>
        <w:t>We celebrate the uniqueness of every child and encourage them to shine before others in turn giving glory to the heavenly father and preparing them for life’s journey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sz w:val="40"/>
          <w:szCs w:val="40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32"/>
          <w:szCs w:val="32"/>
          <w:highlight w:val="white"/>
        </w:rPr>
      </w:pPr>
      <w:r>
        <w:rPr>
          <w:rFonts w:ascii="Calibri" w:eastAsia="Calibri" w:hAnsi="Calibri" w:cs="Calibri"/>
          <w:i/>
          <w:color w:val="212529"/>
          <w:sz w:val="32"/>
          <w:szCs w:val="32"/>
          <w:highlight w:val="white"/>
        </w:rPr>
        <w:t xml:space="preserve">“You are the light of the world. A town built on a hill cannot be hidden.  Neither </w:t>
      </w:r>
      <w:proofErr w:type="gramStart"/>
      <w:r>
        <w:rPr>
          <w:rFonts w:ascii="Calibri" w:eastAsia="Calibri" w:hAnsi="Calibri" w:cs="Calibri"/>
          <w:i/>
          <w:color w:val="212529"/>
          <w:sz w:val="32"/>
          <w:szCs w:val="32"/>
          <w:highlight w:val="white"/>
        </w:rPr>
        <w:t>do</w:t>
      </w:r>
      <w:proofErr w:type="gramEnd"/>
      <w:r>
        <w:rPr>
          <w:rFonts w:ascii="Calibri" w:eastAsia="Calibri" w:hAnsi="Calibri" w:cs="Calibri"/>
          <w:i/>
          <w:color w:val="212529"/>
          <w:sz w:val="32"/>
          <w:szCs w:val="32"/>
          <w:highlight w:val="white"/>
        </w:rPr>
        <w:t xml:space="preserve"> people light a lamp and put it under a bowl. Instead they put it on its stand, and it gives light to everyone in the house. In the same way,     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i/>
          <w:color w:val="212529"/>
          <w:sz w:val="38"/>
          <w:szCs w:val="38"/>
          <w:u w:val="single"/>
        </w:rPr>
      </w:pPr>
      <w:proofErr w:type="gramStart"/>
      <w:r>
        <w:rPr>
          <w:rFonts w:ascii="Calibri" w:eastAsia="Calibri" w:hAnsi="Calibri" w:cs="Calibri"/>
          <w:b/>
          <w:i/>
          <w:color w:val="212529"/>
          <w:sz w:val="38"/>
          <w:szCs w:val="38"/>
          <w:highlight w:val="white"/>
          <w:u w:val="single"/>
        </w:rPr>
        <w:t>let</w:t>
      </w:r>
      <w:proofErr w:type="gramEnd"/>
      <w:r>
        <w:rPr>
          <w:rFonts w:ascii="Calibri" w:eastAsia="Calibri" w:hAnsi="Calibri" w:cs="Calibri"/>
          <w:b/>
          <w:i/>
          <w:color w:val="212529"/>
          <w:sz w:val="38"/>
          <w:szCs w:val="38"/>
          <w:highlight w:val="white"/>
          <w:u w:val="single"/>
        </w:rPr>
        <w:t xml:space="preserve"> your light shine bef</w:t>
      </w:r>
      <w:r>
        <w:rPr>
          <w:rFonts w:ascii="Calibri" w:eastAsia="Calibri" w:hAnsi="Calibri" w:cs="Calibri"/>
          <w:b/>
          <w:i/>
          <w:color w:val="212529"/>
          <w:sz w:val="38"/>
          <w:szCs w:val="38"/>
          <w:highlight w:val="white"/>
          <w:u w:val="single"/>
        </w:rPr>
        <w:t>ore others, that they may see your good deeds and glorify your Father in heaven.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b/>
          <w:i/>
          <w:color w:val="212529"/>
          <w:sz w:val="38"/>
          <w:szCs w:val="38"/>
          <w:highlight w:val="white"/>
          <w:u w:val="single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40"/>
          <w:szCs w:val="40"/>
        </w:rPr>
      </w:pPr>
      <w:r>
        <w:rPr>
          <w:rFonts w:ascii="Calibri" w:eastAsia="Calibri" w:hAnsi="Calibri" w:cs="Calibri"/>
          <w:i/>
          <w:color w:val="212529"/>
          <w:sz w:val="40"/>
          <w:szCs w:val="40"/>
        </w:rPr>
        <w:t>Matthew 5:14-16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40"/>
          <w:szCs w:val="40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40"/>
          <w:szCs w:val="40"/>
        </w:rPr>
      </w:pPr>
      <w:r>
        <w:rPr>
          <w:rFonts w:ascii="Calibri" w:eastAsia="Calibri" w:hAnsi="Calibri" w:cs="Calibri"/>
          <w:i/>
          <w:noProof/>
          <w:color w:val="212529"/>
          <w:sz w:val="40"/>
          <w:szCs w:val="40"/>
          <w:lang w:val="en-GB"/>
        </w:rPr>
        <w:drawing>
          <wp:inline distT="114300" distB="114300" distL="114300" distR="114300">
            <wp:extent cx="4143375" cy="2724150"/>
            <wp:effectExtent l="0" t="0" r="9525" b="0"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8137" cy="27272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  <w:u w:val="single"/>
        </w:rPr>
      </w:pPr>
      <w:r>
        <w:rPr>
          <w:rFonts w:ascii="Calibri" w:eastAsia="Calibri" w:hAnsi="Calibri" w:cs="Calibri"/>
          <w:b/>
          <w:sz w:val="54"/>
          <w:szCs w:val="54"/>
          <w:u w:val="single"/>
        </w:rPr>
        <w:lastRenderedPageBreak/>
        <w:t>School Values</w:t>
      </w:r>
    </w:p>
    <w:p w:rsidR="00ED3C96" w:rsidRDefault="00ED3C96">
      <w:pPr>
        <w:widowControl w:val="0"/>
        <w:spacing w:line="240" w:lineRule="auto"/>
        <w:rPr>
          <w:rFonts w:ascii="Calibri" w:eastAsia="Calibri" w:hAnsi="Calibri" w:cs="Calibri"/>
          <w:b/>
          <w:sz w:val="54"/>
          <w:szCs w:val="54"/>
          <w:u w:val="single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sz w:val="54"/>
          <w:szCs w:val="54"/>
        </w:rPr>
        <w:t>HOPE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noProof/>
          <w:sz w:val="54"/>
          <w:szCs w:val="54"/>
          <w:lang w:val="en-GB"/>
        </w:rPr>
        <w:drawing>
          <wp:inline distT="114300" distB="114300" distL="114300" distR="114300">
            <wp:extent cx="1402870" cy="833781"/>
            <wp:effectExtent l="0" t="0" r="0" b="0"/>
            <wp:docPr id="5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870" cy="8337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sz w:val="54"/>
          <w:szCs w:val="54"/>
        </w:rPr>
        <w:t>TRUST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noProof/>
          <w:sz w:val="54"/>
          <w:szCs w:val="54"/>
          <w:lang w:val="en-GB"/>
        </w:rPr>
        <w:drawing>
          <wp:inline distT="114300" distB="114300" distL="114300" distR="114300">
            <wp:extent cx="1362075" cy="838200"/>
            <wp:effectExtent l="0" t="0" r="9525" b="0"/>
            <wp:docPr id="1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4973" cy="8399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sz w:val="54"/>
          <w:szCs w:val="54"/>
        </w:rPr>
        <w:t xml:space="preserve">RESPECT 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noProof/>
          <w:sz w:val="54"/>
          <w:szCs w:val="54"/>
          <w:lang w:val="en-GB"/>
        </w:rPr>
        <w:drawing>
          <wp:inline distT="114300" distB="114300" distL="114300" distR="114300">
            <wp:extent cx="1314450" cy="904875"/>
            <wp:effectExtent l="0" t="0" r="0" b="9525"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7379" cy="906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sz w:val="54"/>
          <w:szCs w:val="54"/>
        </w:rPr>
        <w:t xml:space="preserve">FORGIVENESS 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noProof/>
          <w:sz w:val="54"/>
          <w:szCs w:val="54"/>
          <w:lang w:val="en-GB"/>
        </w:rPr>
        <w:drawing>
          <wp:inline distT="114300" distB="114300" distL="114300" distR="114300">
            <wp:extent cx="1228725" cy="828675"/>
            <wp:effectExtent l="0" t="0" r="9525" b="9525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4173" cy="8323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sz w:val="54"/>
          <w:szCs w:val="54"/>
        </w:rPr>
        <w:t>PERSEVERANCE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noProof/>
          <w:sz w:val="54"/>
          <w:szCs w:val="54"/>
          <w:lang w:val="en-GB"/>
        </w:rPr>
        <w:drawing>
          <wp:inline distT="114300" distB="114300" distL="114300" distR="114300">
            <wp:extent cx="1247775" cy="962025"/>
            <wp:effectExtent l="0" t="0" r="0" b="9525"/>
            <wp:docPr id="7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0429" cy="964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</w:rPr>
      </w:pPr>
      <w:r>
        <w:rPr>
          <w:rFonts w:ascii="Calibri" w:eastAsia="Calibri" w:hAnsi="Calibri" w:cs="Calibri"/>
          <w:b/>
          <w:sz w:val="54"/>
          <w:szCs w:val="54"/>
        </w:rPr>
        <w:t>FRIENDSHIP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  <w:u w:val="single"/>
        </w:rPr>
      </w:pPr>
      <w:r>
        <w:rPr>
          <w:rFonts w:ascii="Calibri" w:eastAsia="Calibri" w:hAnsi="Calibri" w:cs="Calibri"/>
          <w:b/>
          <w:noProof/>
          <w:sz w:val="54"/>
          <w:szCs w:val="54"/>
          <w:lang w:val="en-GB"/>
        </w:rPr>
        <w:drawing>
          <wp:inline distT="114300" distB="114300" distL="114300" distR="114300">
            <wp:extent cx="1308206" cy="1066800"/>
            <wp:effectExtent l="0" t="0" r="6350" b="0"/>
            <wp:docPr id="10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106" cy="10716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  <w:u w:val="single"/>
        </w:rPr>
      </w:pPr>
      <w:r>
        <w:rPr>
          <w:rFonts w:ascii="Calibri" w:eastAsia="Calibri" w:hAnsi="Calibri" w:cs="Calibri"/>
          <w:b/>
          <w:sz w:val="54"/>
          <w:szCs w:val="54"/>
          <w:u w:val="single"/>
        </w:rPr>
        <w:lastRenderedPageBreak/>
        <w:t>School Analogy for Spirituality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54"/>
          <w:szCs w:val="54"/>
          <w:u w:val="single"/>
        </w:rPr>
      </w:pPr>
    </w:p>
    <w:p w:rsidR="00ED3C96" w:rsidRDefault="003037D2">
      <w:pPr>
        <w:widowControl w:val="0"/>
        <w:spacing w:line="240" w:lineRule="auto"/>
        <w:rPr>
          <w:rFonts w:ascii="Calibri" w:eastAsia="Calibri" w:hAnsi="Calibri" w:cs="Calibri"/>
          <w:b/>
          <w:sz w:val="54"/>
          <w:szCs w:val="54"/>
          <w:u w:val="single"/>
        </w:rPr>
      </w:pPr>
      <w:r>
        <w:rPr>
          <w:rFonts w:ascii="Calibri" w:eastAsia="Calibri" w:hAnsi="Calibri" w:cs="Calibri"/>
          <w:i/>
          <w:noProof/>
          <w:color w:val="212529"/>
          <w:sz w:val="40"/>
          <w:szCs w:val="40"/>
          <w:lang w:val="en-GB"/>
        </w:rPr>
        <w:drawing>
          <wp:inline distT="114300" distB="114300" distL="114300" distR="114300">
            <wp:extent cx="3145818" cy="2097212"/>
            <wp:effectExtent l="0" t="0" r="0" b="0"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5818" cy="20972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3267075</wp:posOffset>
            </wp:positionH>
            <wp:positionV relativeFrom="paragraph">
              <wp:posOffset>381000</wp:posOffset>
            </wp:positionV>
            <wp:extent cx="3141056" cy="1373639"/>
            <wp:effectExtent l="0" t="0" r="0" b="0"/>
            <wp:wrapNone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1056" cy="13736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40"/>
          <w:szCs w:val="40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40"/>
          <w:szCs w:val="40"/>
        </w:rPr>
      </w:pPr>
      <w:r>
        <w:rPr>
          <w:rFonts w:ascii="Calibri" w:eastAsia="Calibri" w:hAnsi="Calibri" w:cs="Calibri"/>
          <w:i/>
          <w:color w:val="212529"/>
          <w:sz w:val="40"/>
          <w:szCs w:val="40"/>
        </w:rPr>
        <w:t xml:space="preserve">At </w:t>
      </w:r>
      <w:proofErr w:type="spellStart"/>
      <w:r>
        <w:rPr>
          <w:rFonts w:ascii="Calibri" w:eastAsia="Calibri" w:hAnsi="Calibri" w:cs="Calibri"/>
          <w:i/>
          <w:color w:val="212529"/>
          <w:sz w:val="40"/>
          <w:szCs w:val="40"/>
        </w:rPr>
        <w:t>Elveden</w:t>
      </w:r>
      <w:proofErr w:type="spellEnd"/>
      <w:r>
        <w:rPr>
          <w:rFonts w:ascii="Calibri" w:eastAsia="Calibri" w:hAnsi="Calibri" w:cs="Calibri"/>
          <w:i/>
          <w:color w:val="212529"/>
          <w:sz w:val="40"/>
          <w:szCs w:val="40"/>
        </w:rPr>
        <w:t xml:space="preserve"> Church of England Academy, we explain our spiritual development with this analogy, inspired by Carl Jung.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40"/>
          <w:szCs w:val="40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  <w:r>
        <w:rPr>
          <w:rFonts w:ascii="Calibri" w:eastAsia="Calibri" w:hAnsi="Calibri" w:cs="Calibri"/>
          <w:i/>
          <w:color w:val="0000FF"/>
          <w:sz w:val="38"/>
          <w:szCs w:val="38"/>
        </w:rPr>
        <w:t xml:space="preserve">My shoes fit me. 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  <w:r>
        <w:rPr>
          <w:rFonts w:ascii="Calibri" w:eastAsia="Calibri" w:hAnsi="Calibri" w:cs="Calibri"/>
          <w:i/>
          <w:color w:val="0000FF"/>
          <w:sz w:val="38"/>
          <w:szCs w:val="38"/>
        </w:rPr>
        <w:t xml:space="preserve">I wear them because today, this is what I need. 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  <w:r>
        <w:rPr>
          <w:rFonts w:ascii="Calibri" w:eastAsia="Calibri" w:hAnsi="Calibri" w:cs="Calibri"/>
          <w:i/>
          <w:color w:val="0000FF"/>
          <w:sz w:val="38"/>
          <w:szCs w:val="38"/>
        </w:rPr>
        <w:t>As I grow, I will need to change them for a bigger size.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  <w:r>
        <w:rPr>
          <w:rFonts w:ascii="Calibri" w:eastAsia="Calibri" w:hAnsi="Calibri" w:cs="Calibri"/>
          <w:i/>
          <w:color w:val="0000FF"/>
          <w:sz w:val="38"/>
          <w:szCs w:val="38"/>
        </w:rPr>
        <w:t xml:space="preserve">When I do different activities, I change my shoes. 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  <w:r>
        <w:rPr>
          <w:rFonts w:ascii="Calibri" w:eastAsia="Calibri" w:hAnsi="Calibri" w:cs="Calibri"/>
          <w:i/>
          <w:color w:val="0000FF"/>
          <w:sz w:val="38"/>
          <w:szCs w:val="38"/>
        </w:rPr>
        <w:t xml:space="preserve">Some activities are joyful and energetic, others focused or purposeful. 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  <w:r>
        <w:rPr>
          <w:rFonts w:ascii="Calibri" w:eastAsia="Calibri" w:hAnsi="Calibri" w:cs="Calibri"/>
          <w:i/>
          <w:color w:val="0000FF"/>
          <w:sz w:val="38"/>
          <w:szCs w:val="38"/>
        </w:rPr>
        <w:t>I wear some shoes daily, and some only for special occasions.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  <w:r>
        <w:rPr>
          <w:rFonts w:ascii="Calibri" w:eastAsia="Calibri" w:hAnsi="Calibri" w:cs="Calibri"/>
          <w:i/>
          <w:color w:val="0000FF"/>
          <w:sz w:val="38"/>
          <w:szCs w:val="38"/>
        </w:rPr>
        <w:t xml:space="preserve">All these shoes are needed. 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  <w:r>
        <w:rPr>
          <w:rFonts w:ascii="Calibri" w:eastAsia="Calibri" w:hAnsi="Calibri" w:cs="Calibri"/>
          <w:i/>
          <w:color w:val="0000FF"/>
          <w:sz w:val="38"/>
          <w:szCs w:val="38"/>
        </w:rPr>
        <w:t>If I try to wear shoes that are for som</w:t>
      </w:r>
      <w:r>
        <w:rPr>
          <w:rFonts w:ascii="Calibri" w:eastAsia="Calibri" w:hAnsi="Calibri" w:cs="Calibri"/>
          <w:i/>
          <w:color w:val="0000FF"/>
          <w:sz w:val="38"/>
          <w:szCs w:val="38"/>
        </w:rPr>
        <w:t xml:space="preserve">eone else, </w:t>
      </w: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  <w:proofErr w:type="gramStart"/>
      <w:r>
        <w:rPr>
          <w:rFonts w:ascii="Calibri" w:eastAsia="Calibri" w:hAnsi="Calibri" w:cs="Calibri"/>
          <w:i/>
          <w:color w:val="0000FF"/>
          <w:sz w:val="38"/>
          <w:szCs w:val="38"/>
        </w:rPr>
        <w:t>they</w:t>
      </w:r>
      <w:proofErr w:type="gramEnd"/>
      <w:r>
        <w:rPr>
          <w:rFonts w:ascii="Calibri" w:eastAsia="Calibri" w:hAnsi="Calibri" w:cs="Calibri"/>
          <w:i/>
          <w:color w:val="0000FF"/>
          <w:sz w:val="38"/>
          <w:szCs w:val="38"/>
        </w:rPr>
        <w:t xml:space="preserve"> don’t fit well. 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0000FF"/>
          <w:sz w:val="38"/>
          <w:szCs w:val="38"/>
        </w:rPr>
      </w:pPr>
      <w:r>
        <w:rPr>
          <w:rFonts w:ascii="Calibri" w:eastAsia="Calibri" w:hAnsi="Calibri" w:cs="Calibri"/>
          <w:i/>
          <w:color w:val="0000FF"/>
          <w:sz w:val="38"/>
          <w:szCs w:val="38"/>
        </w:rPr>
        <w:t>My shoes are tools for my unique journey through life.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38"/>
          <w:szCs w:val="38"/>
        </w:rPr>
      </w:pP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30"/>
          <w:szCs w:val="30"/>
        </w:rPr>
      </w:pP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30"/>
          <w:szCs w:val="30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30"/>
          <w:szCs w:val="30"/>
        </w:rPr>
      </w:pPr>
      <w:r>
        <w:rPr>
          <w:rFonts w:ascii="Calibri" w:eastAsia="Calibri" w:hAnsi="Calibri" w:cs="Calibri"/>
          <w:i/>
          <w:color w:val="212529"/>
          <w:sz w:val="30"/>
          <w:szCs w:val="30"/>
        </w:rPr>
        <w:lastRenderedPageBreak/>
        <w:t>Q: What do we mean by ‘the shoes’?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30"/>
          <w:szCs w:val="30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i/>
          <w:color w:val="212529"/>
          <w:sz w:val="30"/>
          <w:szCs w:val="30"/>
        </w:rPr>
      </w:pPr>
      <w:r>
        <w:rPr>
          <w:rFonts w:ascii="Calibri" w:eastAsia="Calibri" w:hAnsi="Calibri" w:cs="Calibri"/>
          <w:i/>
          <w:color w:val="212529"/>
          <w:sz w:val="30"/>
          <w:szCs w:val="30"/>
        </w:rPr>
        <w:t>A: The school community is offered a range of planned-for spiritual experiences as well as a rich curriculum. Individuals are i</w:t>
      </w:r>
      <w:r>
        <w:rPr>
          <w:rFonts w:ascii="Calibri" w:eastAsia="Calibri" w:hAnsi="Calibri" w:cs="Calibri"/>
          <w:i/>
          <w:color w:val="212529"/>
          <w:sz w:val="30"/>
          <w:szCs w:val="30"/>
        </w:rPr>
        <w:t xml:space="preserve">nvited to engage with these and reflect upon which at this point are meaningful and moving. These practices are presented as tools which can be learned and used throughout life. 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b/>
          <w:i/>
          <w:color w:val="212529"/>
          <w:sz w:val="38"/>
          <w:szCs w:val="38"/>
          <w:u w:val="single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b/>
          <w:color w:val="212529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212529"/>
          <w:sz w:val="24"/>
          <w:szCs w:val="24"/>
          <w:u w:val="single"/>
        </w:rPr>
        <w:t>Research-Base;</w:t>
      </w:r>
    </w:p>
    <w:p w:rsidR="00ED3C96" w:rsidRDefault="00ED3C96">
      <w:pPr>
        <w:widowControl w:val="0"/>
        <w:spacing w:line="240" w:lineRule="auto"/>
        <w:jc w:val="center"/>
        <w:rPr>
          <w:rFonts w:ascii="Calibri" w:eastAsia="Calibri" w:hAnsi="Calibri" w:cs="Calibri"/>
          <w:b/>
          <w:color w:val="212529"/>
          <w:sz w:val="24"/>
          <w:szCs w:val="24"/>
          <w:u w:val="single"/>
        </w:rPr>
      </w:pPr>
    </w:p>
    <w:p w:rsidR="00ED3C96" w:rsidRDefault="003037D2">
      <w:pPr>
        <w:widowControl w:val="0"/>
        <w:spacing w:line="240" w:lineRule="auto"/>
        <w:jc w:val="center"/>
        <w:rPr>
          <w:rFonts w:ascii="Calibri" w:eastAsia="Calibri" w:hAnsi="Calibri" w:cs="Calibri"/>
          <w:color w:val="212529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</w:rPr>
        <w:t xml:space="preserve">Broadening opportunity for spiritual development </w:t>
      </w:r>
      <w:proofErr w:type="gramStart"/>
      <w:r>
        <w:rPr>
          <w:rFonts w:ascii="Calibri" w:eastAsia="Calibri" w:hAnsi="Calibri" w:cs="Calibri"/>
          <w:color w:val="212529"/>
          <w:sz w:val="24"/>
          <w:szCs w:val="24"/>
        </w:rPr>
        <w:t>If</w:t>
      </w:r>
      <w:proofErr w:type="gramEnd"/>
      <w:r>
        <w:rPr>
          <w:rFonts w:ascii="Calibri" w:eastAsia="Calibri" w:hAnsi="Calibri" w:cs="Calibri"/>
          <w:color w:val="212529"/>
          <w:sz w:val="24"/>
          <w:szCs w:val="24"/>
        </w:rPr>
        <w:t xml:space="preserve"> spiritual development is to be something ‘that should influence all areas of education as it does all areas of life’ it is helpful for schools to have a shared language to describe this and to have explor</w:t>
      </w:r>
      <w:r>
        <w:rPr>
          <w:rFonts w:ascii="Calibri" w:eastAsia="Calibri" w:hAnsi="Calibri" w:cs="Calibri"/>
          <w:color w:val="212529"/>
          <w:sz w:val="24"/>
          <w:szCs w:val="24"/>
        </w:rPr>
        <w:t xml:space="preserve">ed what this might look like in different subject areas. 38 The work of David Hay and Rebecca Nye (2006) 39 is helpful </w:t>
      </w:r>
      <w:proofErr w:type="spellStart"/>
      <w:r>
        <w:rPr>
          <w:rFonts w:ascii="Calibri" w:eastAsia="Calibri" w:hAnsi="Calibri" w:cs="Calibri"/>
          <w:color w:val="212529"/>
          <w:sz w:val="24"/>
          <w:szCs w:val="24"/>
        </w:rPr>
        <w:t>here.Their</w:t>
      </w:r>
      <w:proofErr w:type="spellEnd"/>
      <w:r>
        <w:rPr>
          <w:rFonts w:ascii="Calibri" w:eastAsia="Calibri" w:hAnsi="Calibri" w:cs="Calibri"/>
          <w:color w:val="212529"/>
          <w:sz w:val="24"/>
          <w:szCs w:val="24"/>
        </w:rPr>
        <w:t xml:space="preserve"> survey of writers on spirituality and child psychology found that experiences of spirituality can be categorized into 3 broad </w:t>
      </w:r>
      <w:r>
        <w:rPr>
          <w:rFonts w:ascii="Calibri" w:eastAsia="Calibri" w:hAnsi="Calibri" w:cs="Calibri"/>
          <w:color w:val="212529"/>
          <w:sz w:val="24"/>
          <w:szCs w:val="24"/>
        </w:rPr>
        <w:t>areas: awareness-sensing, mystery-sensing and value-</w:t>
      </w:r>
      <w:proofErr w:type="spellStart"/>
      <w:r>
        <w:rPr>
          <w:rFonts w:ascii="Calibri" w:eastAsia="Calibri" w:hAnsi="Calibri" w:cs="Calibri"/>
          <w:color w:val="212529"/>
          <w:sz w:val="24"/>
          <w:szCs w:val="24"/>
        </w:rPr>
        <w:t>sensing.The</w:t>
      </w:r>
      <w:proofErr w:type="spellEnd"/>
      <w:r>
        <w:rPr>
          <w:rFonts w:ascii="Calibri" w:eastAsia="Calibri" w:hAnsi="Calibri" w:cs="Calibri"/>
          <w:color w:val="212529"/>
          <w:sz w:val="24"/>
          <w:szCs w:val="24"/>
        </w:rPr>
        <w:t xml:space="preserve"> table below (adapted from Hay and Nye (2006) by Pawson (2018 p152) 40) gives some details of these different aspects of spirituality and some suggested activities for use by teachers.</w:t>
      </w:r>
    </w:p>
    <w:p w:rsidR="00ED3C96" w:rsidRDefault="003037D2">
      <w:pPr>
        <w:widowControl w:val="0"/>
        <w:spacing w:line="240" w:lineRule="auto"/>
        <w:rPr>
          <w:rFonts w:ascii="Calibri" w:eastAsia="Calibri" w:hAnsi="Calibri" w:cs="Calibri"/>
          <w:i/>
          <w:color w:val="212529"/>
          <w:sz w:val="38"/>
          <w:szCs w:val="38"/>
        </w:rPr>
      </w:pPr>
      <w:r>
        <w:rPr>
          <w:rFonts w:ascii="Calibri" w:eastAsia="Calibri" w:hAnsi="Calibri" w:cs="Calibri"/>
          <w:i/>
          <w:color w:val="212529"/>
          <w:sz w:val="38"/>
          <w:szCs w:val="38"/>
        </w:rPr>
        <w:t>Updated table below incoming…</w:t>
      </w:r>
    </w:p>
    <w:tbl>
      <w:tblPr>
        <w:tblStyle w:val="a0"/>
        <w:tblW w:w="103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9"/>
        <w:gridCol w:w="3426"/>
        <w:gridCol w:w="2565"/>
      </w:tblGrid>
      <w:tr w:rsidR="00ED3C96">
        <w:trPr>
          <w:jc w:val="center"/>
        </w:trPr>
        <w:tc>
          <w:tcPr>
            <w:tcW w:w="4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color w:val="212529"/>
                <w:sz w:val="24"/>
                <w:szCs w:val="24"/>
              </w:rPr>
              <w:t>Aspects of Spirituality 2024-5</w:t>
            </w:r>
          </w:p>
        </w:tc>
        <w:tc>
          <w:tcPr>
            <w:tcW w:w="3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color w:val="212529"/>
                <w:sz w:val="24"/>
                <w:szCs w:val="24"/>
              </w:rPr>
              <w:t>Planned routines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color w:val="212529"/>
                <w:sz w:val="24"/>
                <w:szCs w:val="24"/>
              </w:rPr>
              <w:t>Planned Activities</w:t>
            </w:r>
          </w:p>
        </w:tc>
      </w:tr>
      <w:tr w:rsidR="00ED3C96">
        <w:trPr>
          <w:trHeight w:val="440"/>
          <w:jc w:val="center"/>
        </w:trPr>
        <w:tc>
          <w:tcPr>
            <w:tcW w:w="10350" w:type="dxa"/>
            <w:gridSpan w:val="3"/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i/>
                <w:color w:val="212529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i/>
                <w:color w:val="212529"/>
                <w:sz w:val="36"/>
                <w:szCs w:val="36"/>
              </w:rPr>
              <w:t>AWARENESS SENSING</w:t>
            </w:r>
          </w:p>
        </w:tc>
      </w:tr>
      <w:tr w:rsidR="00ED3C96">
        <w:trPr>
          <w:jc w:val="center"/>
        </w:trPr>
        <w:tc>
          <w:tcPr>
            <w:tcW w:w="4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>Being present - here and now</w:t>
            </w:r>
          </w:p>
        </w:tc>
        <w:tc>
          <w:tcPr>
            <w:tcW w:w="3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 xml:space="preserve">Centering </w:t>
            </w:r>
            <w:proofErr w:type="spellStart"/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>practises</w:t>
            </w:r>
            <w:proofErr w:type="spellEnd"/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 xml:space="preserve"> in the classroom built into routine</w:t>
            </w:r>
          </w:p>
          <w:p w:rsidR="00ED3C96" w:rsidRDefault="00ED3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ED3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</w:p>
        </w:tc>
      </w:tr>
      <w:tr w:rsidR="00ED3C96">
        <w:trPr>
          <w:jc w:val="center"/>
        </w:trPr>
        <w:tc>
          <w:tcPr>
            <w:tcW w:w="4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>Tuning - Deep sense of connection with the Earth - nature and people</w:t>
            </w:r>
          </w:p>
        </w:tc>
        <w:tc>
          <w:tcPr>
            <w:tcW w:w="3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>Unique thankfulness expressions before eating</w:t>
            </w:r>
          </w:p>
          <w:p w:rsidR="00ED3C96" w:rsidRDefault="00ED3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</w:p>
          <w:p w:rsidR="00ED3C96" w:rsidRDefault="00ED3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>Forest Schools</w:t>
            </w:r>
          </w:p>
          <w:p w:rsidR="00ED3C96" w:rsidRDefault="00ED3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</w:p>
        </w:tc>
      </w:tr>
      <w:tr w:rsidR="00ED3C96">
        <w:trPr>
          <w:jc w:val="center"/>
        </w:trPr>
        <w:tc>
          <w:tcPr>
            <w:tcW w:w="4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>Experiencing individual peace</w:t>
            </w:r>
          </w:p>
        </w:tc>
        <w:tc>
          <w:tcPr>
            <w:tcW w:w="3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>5 minutes peace after lunchtime</w:t>
            </w:r>
          </w:p>
          <w:p w:rsidR="00ED3C96" w:rsidRDefault="00ED3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ED3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</w:p>
        </w:tc>
      </w:tr>
      <w:tr w:rsidR="00ED3C96">
        <w:trPr>
          <w:trHeight w:val="440"/>
          <w:jc w:val="center"/>
        </w:trPr>
        <w:tc>
          <w:tcPr>
            <w:tcW w:w="10350" w:type="dxa"/>
            <w:gridSpan w:val="3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212529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i/>
                <w:color w:val="212529"/>
                <w:sz w:val="36"/>
                <w:szCs w:val="36"/>
              </w:rPr>
              <w:t>MYSTERY SENSING</w:t>
            </w:r>
          </w:p>
        </w:tc>
      </w:tr>
      <w:tr w:rsidR="00ED3C96">
        <w:trPr>
          <w:jc w:val="center"/>
        </w:trPr>
        <w:tc>
          <w:tcPr>
            <w:tcW w:w="4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>Awe and Wonder - Enjoying beauty</w:t>
            </w:r>
          </w:p>
        </w:tc>
        <w:tc>
          <w:tcPr>
            <w:tcW w:w="3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ED3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>Forest Schools</w:t>
            </w:r>
          </w:p>
          <w:p w:rsidR="00ED3C96" w:rsidRDefault="00303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 xml:space="preserve">Visits to the church </w:t>
            </w:r>
          </w:p>
        </w:tc>
      </w:tr>
      <w:tr w:rsidR="00ED3C96">
        <w:trPr>
          <w:trHeight w:val="440"/>
          <w:jc w:val="center"/>
        </w:trPr>
        <w:tc>
          <w:tcPr>
            <w:tcW w:w="10350" w:type="dxa"/>
            <w:gridSpan w:val="3"/>
            <w:shd w:val="clear" w:color="auto" w:fill="1155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FFFFFF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  <w:sz w:val="36"/>
                <w:szCs w:val="36"/>
              </w:rPr>
              <w:t>VALUE SENSING</w:t>
            </w:r>
          </w:p>
        </w:tc>
      </w:tr>
      <w:tr w:rsidR="00ED3C96">
        <w:trPr>
          <w:jc w:val="center"/>
        </w:trPr>
        <w:tc>
          <w:tcPr>
            <w:tcW w:w="4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3037D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i/>
                <w:color w:val="21252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  <w:t>Meaning - Drawing inspiration from a range of faiths and cultural expressions - particularly the Christian faith and specifically the Anglican tradition.</w:t>
            </w:r>
          </w:p>
        </w:tc>
        <w:tc>
          <w:tcPr>
            <w:tcW w:w="3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ED3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C96" w:rsidRDefault="00ED3C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212529"/>
                <w:sz w:val="24"/>
                <w:szCs w:val="24"/>
              </w:rPr>
            </w:pPr>
          </w:p>
        </w:tc>
      </w:tr>
    </w:tbl>
    <w:p w:rsidR="00ED3C96" w:rsidRDefault="00ED3C96">
      <w:pPr>
        <w:widowControl w:val="0"/>
        <w:spacing w:line="240" w:lineRule="auto"/>
        <w:rPr>
          <w:rFonts w:ascii="Calibri" w:eastAsia="Calibri" w:hAnsi="Calibri" w:cs="Calibri"/>
          <w:i/>
          <w:color w:val="212529"/>
          <w:sz w:val="38"/>
          <w:szCs w:val="38"/>
        </w:rPr>
      </w:pPr>
      <w:bookmarkStart w:id="1" w:name="_GoBack"/>
      <w:bookmarkEnd w:id="1"/>
    </w:p>
    <w:sectPr w:rsidR="00ED3C96">
      <w:pgSz w:w="11906" w:h="16838"/>
      <w:pgMar w:top="900" w:right="750" w:bottom="1440" w:left="80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D3C96"/>
    <w:rsid w:val="003037D2"/>
    <w:rsid w:val="00ED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4B1"/>
    <w:rPr>
      <w:rFonts w:ascii="Tahoma" w:hAnsi="Tahoma" w:cs="Tahoma"/>
      <w:sz w:val="16"/>
      <w:szCs w:val="16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4B1"/>
    <w:rPr>
      <w:rFonts w:ascii="Tahoma" w:hAnsi="Tahoma" w:cs="Tahoma"/>
      <w:sz w:val="16"/>
      <w:szCs w:val="16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893QDIVruBcrIjOorV1JNpMOLA==">CgMxLjAyCGguZ2pkZ3hzOAByITFGT21Wa0FRbmxvcDJkNURwWURJTDBkR3hScFo5WmM2cA==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FOX</cp:lastModifiedBy>
  <cp:revision>2</cp:revision>
  <dcterms:created xsi:type="dcterms:W3CDTF">2025-02-06T13:28:00Z</dcterms:created>
  <dcterms:modified xsi:type="dcterms:W3CDTF">2025-02-06T13:28:00Z</dcterms:modified>
</cp:coreProperties>
</file>